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30FC" w14:textId="399FA5BB" w:rsidR="007547FC" w:rsidRDefault="001068E0">
      <w:r w:rsidRPr="001068E0">
        <w:t>https://www.praha8.cz/Navrh-rozpoctu-MC-Praha-8-na-rok-2022-a-strednedobeho-vyhledu-MC-Praha-8-do-roku-2027.html</w:t>
      </w:r>
    </w:p>
    <w:sectPr w:rsidR="00754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E0"/>
    <w:rsid w:val="001068E0"/>
    <w:rsid w:val="0075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5A7D"/>
  <w15:chartTrackingRefBased/>
  <w15:docId w15:val="{54FC0754-38F0-4DB1-881E-BF439A82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Mikova</dc:creator>
  <cp:keywords/>
  <dc:description/>
  <cp:lastModifiedBy>Kristyna Mikova</cp:lastModifiedBy>
  <cp:revision>1</cp:revision>
  <dcterms:created xsi:type="dcterms:W3CDTF">2022-01-20T11:09:00Z</dcterms:created>
  <dcterms:modified xsi:type="dcterms:W3CDTF">2022-01-20T11:09:00Z</dcterms:modified>
</cp:coreProperties>
</file>